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E00" w:rsidRPr="006C0E00" w:rsidRDefault="006C0E00" w:rsidP="006C0E00">
      <w:pPr>
        <w:spacing w:after="0" w:line="240" w:lineRule="auto"/>
        <w:ind w:left="720" w:right="-603"/>
        <w:jc w:val="both"/>
        <w:rPr>
          <w:rFonts w:ascii="Interstate-Regular" w:hAnsi="Interstate-Regular"/>
          <w:sz w:val="24"/>
          <w:szCs w:val="24"/>
          <w:u w:val="single"/>
        </w:rPr>
      </w:pPr>
      <w:r w:rsidRPr="006C0E00">
        <w:rPr>
          <w:rFonts w:ascii="Interstate-Regular" w:hAnsi="Interstate-Regular"/>
          <w:sz w:val="24"/>
          <w:szCs w:val="24"/>
          <w:u w:val="single"/>
        </w:rPr>
        <w:t>Remuneration</w:t>
      </w:r>
    </w:p>
    <w:p w:rsidR="006C0E00" w:rsidRPr="00444E64" w:rsidRDefault="006C0E00" w:rsidP="006C0E00">
      <w:pPr>
        <w:spacing w:after="0" w:line="240" w:lineRule="auto"/>
        <w:ind w:right="-603"/>
        <w:jc w:val="both"/>
        <w:rPr>
          <w:rFonts w:ascii="Trebuchet MS" w:hAnsi="Trebuchet MS"/>
          <w:b/>
          <w:bCs/>
          <w:sz w:val="26"/>
          <w:szCs w:val="26"/>
          <w:u w:val="single"/>
        </w:rPr>
      </w:pPr>
    </w:p>
    <w:p w:rsidR="006C0E00" w:rsidRPr="00444E64" w:rsidRDefault="006C0E00" w:rsidP="006C0E00">
      <w:pPr>
        <w:spacing w:after="0" w:line="240" w:lineRule="auto"/>
        <w:ind w:left="426" w:right="27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retired bank officers engaged as contractual credit auditors shall be paid remuneration per month which shall be subject to regulatory guidelines in respect of Tax &amp; GST applicable:</w:t>
      </w:r>
    </w:p>
    <w:tbl>
      <w:tblPr>
        <w:tblW w:w="4590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9"/>
        <w:gridCol w:w="3172"/>
        <w:gridCol w:w="3036"/>
      </w:tblGrid>
      <w:tr w:rsidR="006C0E00" w:rsidRPr="00444E64" w:rsidTr="00153015">
        <w:tc>
          <w:tcPr>
            <w:tcW w:w="1250" w:type="pct"/>
          </w:tcPr>
          <w:p w:rsidR="006C0E00" w:rsidRPr="00444E64" w:rsidRDefault="006C0E00" w:rsidP="00153015">
            <w:pPr>
              <w:spacing w:after="0"/>
              <w:ind w:left="426" w:right="-603" w:hanging="426"/>
              <w:jc w:val="both"/>
              <w:rPr>
                <w:rFonts w:ascii="Interstate-Regular" w:hAnsi="Interstate-Regular"/>
                <w:sz w:val="24"/>
                <w:szCs w:val="24"/>
              </w:rPr>
            </w:pPr>
            <w:r w:rsidRPr="00444E64">
              <w:rPr>
                <w:rFonts w:ascii="Interstate-Regular" w:hAnsi="Interstate-Regular"/>
                <w:sz w:val="24"/>
                <w:szCs w:val="24"/>
              </w:rPr>
              <w:t>Retired in Scale</w:t>
            </w:r>
          </w:p>
        </w:tc>
        <w:tc>
          <w:tcPr>
            <w:tcW w:w="1916" w:type="pct"/>
          </w:tcPr>
          <w:p w:rsidR="006C0E00" w:rsidRPr="00444E64" w:rsidRDefault="006C0E00" w:rsidP="00153015">
            <w:pPr>
              <w:ind w:right="34"/>
              <w:jc w:val="both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Accounts in branch / LCU located In UT of J&amp;K and </w:t>
            </w:r>
            <w:proofErr w:type="spellStart"/>
            <w:r w:rsidRPr="00444E64">
              <w:rPr>
                <w:rFonts w:ascii="Interstate-Regular" w:hAnsi="Interstate-Regular"/>
              </w:rPr>
              <w:t>Ladakh</w:t>
            </w:r>
            <w:proofErr w:type="spellEnd"/>
          </w:p>
        </w:tc>
        <w:tc>
          <w:tcPr>
            <w:tcW w:w="1834" w:type="pct"/>
          </w:tcPr>
          <w:p w:rsidR="006C0E00" w:rsidRPr="00444E64" w:rsidRDefault="006C0E00" w:rsidP="00153015">
            <w:pPr>
              <w:ind w:right="34"/>
              <w:jc w:val="both"/>
              <w:rPr>
                <w:rFonts w:ascii="Interstate-Regular" w:hAnsi="Interstate-Regular"/>
                <w:sz w:val="24"/>
                <w:szCs w:val="24"/>
              </w:rPr>
            </w:pPr>
            <w:r w:rsidRPr="00444E64">
              <w:rPr>
                <w:rFonts w:ascii="Interstate-Regular" w:hAnsi="Interstate-Regular"/>
              </w:rPr>
              <w:t>Accounts in branch / LCU located in Rest of India</w:t>
            </w:r>
          </w:p>
        </w:tc>
      </w:tr>
      <w:tr w:rsidR="006C0E00" w:rsidRPr="00444E64" w:rsidTr="00153015">
        <w:tc>
          <w:tcPr>
            <w:tcW w:w="1250" w:type="pct"/>
          </w:tcPr>
          <w:p w:rsidR="006C0E00" w:rsidRPr="00444E64" w:rsidRDefault="006C0E00" w:rsidP="00153015">
            <w:pPr>
              <w:ind w:right="-720"/>
              <w:jc w:val="both"/>
              <w:rPr>
                <w:rFonts w:ascii="Trebuchet MS" w:hAnsi="Trebuchet MS" w:cs="Calibri"/>
                <w:sz w:val="26"/>
                <w:szCs w:val="26"/>
              </w:rPr>
            </w:pPr>
            <w:r w:rsidRPr="00444E64">
              <w:rPr>
                <w:rFonts w:ascii="Interstate-Regular" w:hAnsi="Interstate-Regular"/>
              </w:rPr>
              <w:t>III &amp; Above</w:t>
            </w:r>
          </w:p>
        </w:tc>
        <w:tc>
          <w:tcPr>
            <w:tcW w:w="1916" w:type="pct"/>
          </w:tcPr>
          <w:p w:rsidR="006C0E00" w:rsidRPr="00444E64" w:rsidRDefault="006C0E00" w:rsidP="00153015">
            <w:pPr>
              <w:ind w:right="-720"/>
              <w:jc w:val="both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Rs.30,000/=</w:t>
            </w:r>
          </w:p>
        </w:tc>
        <w:tc>
          <w:tcPr>
            <w:tcW w:w="1834" w:type="pct"/>
          </w:tcPr>
          <w:p w:rsidR="006C0E00" w:rsidRPr="00444E64" w:rsidRDefault="006C0E00" w:rsidP="00153015">
            <w:pPr>
              <w:ind w:right="-720"/>
              <w:jc w:val="both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Rs.30,000/=</w:t>
            </w:r>
          </w:p>
        </w:tc>
      </w:tr>
    </w:tbl>
    <w:p w:rsidR="006C0E00" w:rsidRDefault="006C0E00" w:rsidP="006C0E00">
      <w:pPr>
        <w:pStyle w:val="ListParagraph"/>
        <w:ind w:left="284"/>
        <w:jc w:val="both"/>
        <w:rPr>
          <w:rFonts w:ascii="Interstate-Regular" w:hAnsi="Interstate-Regular"/>
        </w:rPr>
      </w:pPr>
    </w:p>
    <w:p w:rsidR="006C0E00" w:rsidRPr="00444E64" w:rsidRDefault="006C0E00" w:rsidP="006C0E00">
      <w:pPr>
        <w:pStyle w:val="ListParagraph"/>
        <w:ind w:left="284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This shall be excluding local conveyance charges and TA/Lodging/</w:t>
      </w:r>
      <w:proofErr w:type="spellStart"/>
      <w:r w:rsidRPr="00444E64">
        <w:rPr>
          <w:rFonts w:ascii="Interstate-Regular" w:hAnsi="Interstate-Regular"/>
        </w:rPr>
        <w:t>Haltage</w:t>
      </w:r>
      <w:proofErr w:type="spellEnd"/>
      <w:r w:rsidRPr="00444E64">
        <w:rPr>
          <w:rFonts w:ascii="Interstate-Regular" w:hAnsi="Interstate-Regular"/>
        </w:rPr>
        <w:t xml:space="preserve"> paid to contractual credit auditors in the following manner:</w:t>
      </w:r>
    </w:p>
    <w:p w:rsidR="006C0E00" w:rsidRPr="00444E64" w:rsidRDefault="006C0E00" w:rsidP="006C0E00">
      <w:pPr>
        <w:pStyle w:val="ListParagraph"/>
        <w:spacing w:line="240" w:lineRule="auto"/>
        <w:rPr>
          <w:rFonts w:ascii="Trebuchet MS" w:hAnsi="Trebuchet MS" w:cs="Calibri"/>
          <w:sz w:val="26"/>
          <w:szCs w:val="26"/>
        </w:rPr>
      </w:pPr>
    </w:p>
    <w:p w:rsidR="006C0E00" w:rsidRPr="00444E64" w:rsidRDefault="006C0E00" w:rsidP="006C0E00">
      <w:pPr>
        <w:pStyle w:val="ListParagraph"/>
        <w:numPr>
          <w:ilvl w:val="0"/>
          <w:numId w:val="2"/>
        </w:numPr>
        <w:spacing w:after="160" w:line="240" w:lineRule="auto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The credit auditors engaged on contractual basis in Jammu, Kashmir &amp; </w:t>
      </w:r>
      <w:proofErr w:type="spellStart"/>
      <w:r w:rsidRPr="00444E64">
        <w:rPr>
          <w:rFonts w:ascii="Interstate-Regular" w:hAnsi="Interstate-Regular"/>
        </w:rPr>
        <w:t>Ladakh</w:t>
      </w:r>
      <w:proofErr w:type="spellEnd"/>
      <w:r w:rsidRPr="00444E64">
        <w:rPr>
          <w:rFonts w:ascii="Interstate-Regular" w:hAnsi="Interstate-Regular"/>
        </w:rPr>
        <w:t xml:space="preserve"> Division/s are paid local conveyance charges at Rs.150/- per day for credit audit of branches/LCUs falling outside the municipal limits of Jammu, Srinagar &amp; </w:t>
      </w:r>
      <w:proofErr w:type="spellStart"/>
      <w:r w:rsidRPr="00444E64">
        <w:rPr>
          <w:rFonts w:ascii="Interstate-Regular" w:hAnsi="Interstate-Regular"/>
        </w:rPr>
        <w:t>Ladakh</w:t>
      </w:r>
      <w:proofErr w:type="spellEnd"/>
      <w:r w:rsidRPr="00444E64">
        <w:rPr>
          <w:rFonts w:ascii="Interstate-Regular" w:hAnsi="Interstate-Regular"/>
        </w:rPr>
        <w:t xml:space="preserve"> respectively.</w:t>
      </w:r>
    </w:p>
    <w:p w:rsidR="006C0E00" w:rsidRPr="00444E64" w:rsidRDefault="006C0E00" w:rsidP="006C0E00">
      <w:pPr>
        <w:pStyle w:val="ListParagraph"/>
        <w:spacing w:line="240" w:lineRule="auto"/>
        <w:jc w:val="both"/>
        <w:rPr>
          <w:rFonts w:ascii="Trebuchet MS" w:hAnsi="Trebuchet MS"/>
        </w:rPr>
      </w:pPr>
    </w:p>
    <w:p w:rsidR="006C0E00" w:rsidRPr="00444E64" w:rsidRDefault="006C0E00" w:rsidP="006C0E00">
      <w:pPr>
        <w:pStyle w:val="ListParagraph"/>
        <w:numPr>
          <w:ilvl w:val="0"/>
          <w:numId w:val="2"/>
        </w:numPr>
        <w:spacing w:after="160" w:line="240" w:lineRule="auto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auditors engaged on contractual basis in Delhi (ROI) Division/s are paid local conveyance charges at Rs.225/- per day for credit audit of branches/LCUs within NCR limits.</w:t>
      </w:r>
    </w:p>
    <w:p w:rsidR="006C0E00" w:rsidRPr="00444E64" w:rsidRDefault="006C0E00" w:rsidP="006C0E00">
      <w:pPr>
        <w:pStyle w:val="ListParagraph"/>
        <w:spacing w:line="240" w:lineRule="auto"/>
        <w:rPr>
          <w:rFonts w:ascii="Interstate-Regular" w:hAnsi="Interstate-Regular"/>
        </w:rPr>
      </w:pPr>
    </w:p>
    <w:p w:rsidR="006C0E00" w:rsidRPr="00444E64" w:rsidRDefault="006C0E00" w:rsidP="006C0E00">
      <w:pPr>
        <w:pStyle w:val="ListParagraph"/>
        <w:numPr>
          <w:ilvl w:val="0"/>
          <w:numId w:val="2"/>
        </w:numPr>
        <w:spacing w:after="160" w:line="240" w:lineRule="auto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auditors engaged on contract basis at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and Audit Division, Delhi (ROI) if deputed to outside NCR branches/LCUs shall be entitled to TA/Lodging/</w:t>
      </w:r>
      <w:proofErr w:type="spellStart"/>
      <w:r w:rsidRPr="00444E64">
        <w:rPr>
          <w:rFonts w:ascii="Interstate-Regular" w:hAnsi="Interstate-Regular"/>
        </w:rPr>
        <w:t>Haltage</w:t>
      </w:r>
      <w:proofErr w:type="spellEnd"/>
      <w:r w:rsidRPr="00444E64">
        <w:rPr>
          <w:rFonts w:ascii="Interstate-Regular" w:hAnsi="Interstate-Regular"/>
        </w:rPr>
        <w:t xml:space="preserve"> as is admissible to serving Scale III officers of the Bank. </w:t>
      </w:r>
    </w:p>
    <w:p w:rsidR="006C0E00" w:rsidRPr="00444E64" w:rsidRDefault="006C0E00" w:rsidP="006C0E00">
      <w:pPr>
        <w:pStyle w:val="ListParagraph"/>
        <w:spacing w:line="240" w:lineRule="auto"/>
        <w:rPr>
          <w:rFonts w:ascii="Interstate-Regular" w:hAnsi="Interstate-Regular"/>
        </w:rPr>
      </w:pPr>
    </w:p>
    <w:p w:rsidR="006C0E00" w:rsidRPr="00444E64" w:rsidRDefault="006C0E00" w:rsidP="006C0E00">
      <w:pPr>
        <w:pStyle w:val="ListParagraph"/>
        <w:numPr>
          <w:ilvl w:val="0"/>
          <w:numId w:val="2"/>
        </w:numPr>
        <w:spacing w:after="160" w:line="240" w:lineRule="auto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The credit auditors engaged on contract basis at S, C and Audit Division Jammu and Kashmir &amp; </w:t>
      </w:r>
      <w:proofErr w:type="spellStart"/>
      <w:r w:rsidRPr="00444E64">
        <w:rPr>
          <w:rFonts w:ascii="Interstate-Regular" w:hAnsi="Interstate-Regular"/>
        </w:rPr>
        <w:t>Ladakh</w:t>
      </w:r>
      <w:proofErr w:type="spellEnd"/>
      <w:r w:rsidRPr="00444E64">
        <w:rPr>
          <w:rFonts w:ascii="Interstate-Regular" w:hAnsi="Interstate-Regular"/>
        </w:rPr>
        <w:t xml:space="preserve">, if deputed to branches/LCUs located outside 20 </w:t>
      </w:r>
      <w:proofErr w:type="spellStart"/>
      <w:r w:rsidRPr="00444E64">
        <w:rPr>
          <w:rFonts w:ascii="Interstate-Regular" w:hAnsi="Interstate-Regular"/>
        </w:rPr>
        <w:t>kms</w:t>
      </w:r>
      <w:proofErr w:type="spellEnd"/>
      <w:r w:rsidRPr="00444E64">
        <w:rPr>
          <w:rFonts w:ascii="Interstate-Regular" w:hAnsi="Interstate-Regular"/>
        </w:rPr>
        <w:t xml:space="preserve"> from periphery of municipal limits of district Jammu, Srinagar &amp; </w:t>
      </w:r>
      <w:proofErr w:type="spellStart"/>
      <w:r w:rsidRPr="00444E64">
        <w:rPr>
          <w:rFonts w:ascii="Interstate-Regular" w:hAnsi="Interstate-Regular"/>
        </w:rPr>
        <w:t>Ladakh</w:t>
      </w:r>
      <w:proofErr w:type="spellEnd"/>
      <w:r w:rsidRPr="00444E64">
        <w:rPr>
          <w:rFonts w:ascii="Interstate-Regular" w:hAnsi="Interstate-Regular"/>
        </w:rPr>
        <w:t xml:space="preserve"> shall be entitled to TA/Lodging/</w:t>
      </w:r>
      <w:proofErr w:type="spellStart"/>
      <w:r w:rsidRPr="00444E64">
        <w:rPr>
          <w:rFonts w:ascii="Interstate-Regular" w:hAnsi="Interstate-Regular"/>
        </w:rPr>
        <w:t>Haltage</w:t>
      </w:r>
      <w:proofErr w:type="spellEnd"/>
      <w:r w:rsidRPr="00444E64">
        <w:rPr>
          <w:rFonts w:ascii="Interstate-Regular" w:hAnsi="Interstate-Regular"/>
        </w:rPr>
        <w:t xml:space="preserve"> as is admissible to serving </w:t>
      </w:r>
      <w:r w:rsidR="005348E1">
        <w:rPr>
          <w:rFonts w:ascii="Interstate-Regular" w:hAnsi="Interstate-Regular"/>
        </w:rPr>
        <w:t>Scale III officers of the Bank.</w:t>
      </w:r>
    </w:p>
    <w:p w:rsidR="006C0E00" w:rsidRPr="00444E64" w:rsidRDefault="006C0E00" w:rsidP="006C0E00">
      <w:pPr>
        <w:pStyle w:val="ListParagraph"/>
        <w:spacing w:line="240" w:lineRule="auto"/>
        <w:rPr>
          <w:rFonts w:ascii="Interstate-Regular" w:hAnsi="Interstate-Regular"/>
        </w:rPr>
      </w:pPr>
    </w:p>
    <w:p w:rsidR="006C0E00" w:rsidRPr="00444E64" w:rsidRDefault="006C0E00" w:rsidP="006C0E00">
      <w:pPr>
        <w:pStyle w:val="ListParagraph"/>
        <w:numPr>
          <w:ilvl w:val="0"/>
          <w:numId w:val="2"/>
        </w:numPr>
        <w:spacing w:after="160" w:line="240" w:lineRule="auto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disbursement of the monthly emoluments shall be paid by HRDD, CHQ after obtaining necessary attendance of the contra</w:t>
      </w:r>
      <w:bookmarkStart w:id="0" w:name="_GoBack"/>
      <w:bookmarkEnd w:id="0"/>
      <w:r w:rsidRPr="00444E64">
        <w:rPr>
          <w:rFonts w:ascii="Interstate-Regular" w:hAnsi="Interstate-Regular"/>
        </w:rPr>
        <w:t>ctual credit auditors from the concerned S, C and Audit Division Head.</w:t>
      </w:r>
    </w:p>
    <w:p w:rsidR="00024AEB" w:rsidRDefault="00024AEB"/>
    <w:sectPr w:rsidR="00024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65AC"/>
    <w:multiLevelType w:val="hybridMultilevel"/>
    <w:tmpl w:val="009CCBAA"/>
    <w:lvl w:ilvl="0" w:tplc="6E4A82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51998"/>
    <w:multiLevelType w:val="multilevel"/>
    <w:tmpl w:val="0A4AF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CF"/>
    <w:rsid w:val="00024AEB"/>
    <w:rsid w:val="005348E1"/>
    <w:rsid w:val="006C0E00"/>
    <w:rsid w:val="00CB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D4DBC8-FE56-4AB2-984C-B81186D9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E00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91,Annexure,List Paragraph1,List Paragraph2,heading 9,List Paragraph11,Heading 911,Heading 9111,Heading 92,Heading 93,Heading 94,Heading 91111,Heading 95,Heading 921,Heading 96,Heading 911111,Heading 97,Heading 9111111,Bullet 05"/>
    <w:basedOn w:val="Normal"/>
    <w:link w:val="ListParagraphChar"/>
    <w:uiPriority w:val="34"/>
    <w:qFormat/>
    <w:rsid w:val="006C0E00"/>
    <w:pPr>
      <w:ind w:left="720"/>
      <w:contextualSpacing/>
    </w:pPr>
  </w:style>
  <w:style w:type="character" w:customStyle="1" w:styleId="ListParagraphChar">
    <w:name w:val="List Paragraph Char"/>
    <w:aliases w:val="Heading 91 Char,Annexure Char,List Paragraph1 Char,List Paragraph2 Char,heading 9 Char,List Paragraph11 Char,Heading 911 Char,Heading 9111 Char,Heading 92 Char,Heading 93 Char,Heading 94 Char,Heading 91111 Char,Heading 95 Char"/>
    <w:link w:val="ListParagraph"/>
    <w:uiPriority w:val="34"/>
    <w:qFormat/>
    <w:locked/>
    <w:rsid w:val="006C0E00"/>
    <w:rPr>
      <w:rFonts w:ascii="Calibri" w:eastAsia="Times New Roman" w:hAnsi="Calibri" w:cs="Times New Roman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 Gowhar Maqbool</cp:lastModifiedBy>
  <cp:revision>3</cp:revision>
  <dcterms:created xsi:type="dcterms:W3CDTF">2023-08-01T09:23:00Z</dcterms:created>
  <dcterms:modified xsi:type="dcterms:W3CDTF">2023-08-01T10:00:00Z</dcterms:modified>
</cp:coreProperties>
</file>